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C3A7" w14:textId="001A295A" w:rsidR="00C46736" w:rsidRPr="00F83EDE" w:rsidRDefault="00C46736" w:rsidP="002856FE">
      <w:pPr>
        <w:rPr>
          <w:b/>
          <w:bCs/>
          <w:caps/>
          <w:sz w:val="24"/>
          <w:szCs w:val="24"/>
        </w:rPr>
      </w:pPr>
      <w:r w:rsidRPr="00F83EDE">
        <w:rPr>
          <w:b/>
          <w:bCs/>
          <w:caps/>
          <w:sz w:val="24"/>
          <w:szCs w:val="24"/>
        </w:rPr>
        <w:t>Característiques de l’atur al municipi els darrers 12 mesos</w:t>
      </w:r>
    </w:p>
    <w:p w14:paraId="218E2E71" w14:textId="77777777" w:rsidR="00C46736" w:rsidRDefault="00C46736" w:rsidP="002856FE">
      <w:pPr>
        <w:rPr>
          <w:sz w:val="20"/>
          <w:szCs w:val="20"/>
        </w:rPr>
      </w:pPr>
    </w:p>
    <w:p w14:paraId="42DFBF4A" w14:textId="2C24BAD4" w:rsidR="009D7EC0" w:rsidRDefault="002856FE" w:rsidP="002856FE">
      <w:pPr>
        <w:rPr>
          <w:sz w:val="20"/>
          <w:szCs w:val="20"/>
        </w:rPr>
      </w:pPr>
      <w:r w:rsidRPr="002856FE">
        <w:rPr>
          <w:sz w:val="20"/>
          <w:szCs w:val="20"/>
        </w:rPr>
        <w:t xml:space="preserve">Quadre 1: </w:t>
      </w:r>
      <w:r w:rsidR="00C46736">
        <w:rPr>
          <w:sz w:val="20"/>
          <w:szCs w:val="20"/>
        </w:rPr>
        <w:t xml:space="preserve">Sèrie </w:t>
      </w:r>
      <w:r w:rsidR="009D7EC0" w:rsidRPr="002856FE">
        <w:rPr>
          <w:sz w:val="20"/>
          <w:szCs w:val="20"/>
        </w:rPr>
        <w:t>persones aturades</w:t>
      </w:r>
      <w:r w:rsidR="00F83EDE">
        <w:rPr>
          <w:sz w:val="20"/>
          <w:szCs w:val="20"/>
        </w:rPr>
        <w:t xml:space="preserve"> darrer 12 mesos</w:t>
      </w:r>
      <w:r w:rsidR="009D7EC0" w:rsidRPr="002856FE">
        <w:rPr>
          <w:sz w:val="20"/>
          <w:szCs w:val="20"/>
        </w:rPr>
        <w:t>.</w:t>
      </w:r>
      <w:r w:rsidR="009D7EC0" w:rsidRPr="009D7EC0">
        <w:rPr>
          <w:noProof/>
        </w:rPr>
        <w:drawing>
          <wp:inline distT="0" distB="0" distL="0" distR="0" wp14:anchorId="1A251B0A" wp14:editId="6E56C690">
            <wp:extent cx="6140429" cy="1543050"/>
            <wp:effectExtent l="0" t="0" r="0" b="0"/>
            <wp:docPr id="66092082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99" cy="15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425A" w14:textId="512739E3" w:rsidR="00472C3B" w:rsidRDefault="00C46736" w:rsidP="002856FE">
      <w:pPr>
        <w:rPr>
          <w:sz w:val="24"/>
          <w:szCs w:val="24"/>
        </w:rPr>
      </w:pPr>
      <w:r w:rsidRPr="00F83EDE">
        <w:rPr>
          <w:sz w:val="24"/>
          <w:szCs w:val="24"/>
        </w:rPr>
        <w:t>Els darrers 12 mesos el volum de l’atur ha oscil·lat entre 364 persones en el mes de maig 2023 a 404 els mesos d’agost novembre, desembre 2023 i febrer 2024.</w:t>
      </w:r>
    </w:p>
    <w:p w14:paraId="54D4A5CD" w14:textId="77777777" w:rsidR="00F83EDE" w:rsidRPr="00F83EDE" w:rsidRDefault="00F83EDE" w:rsidP="002856FE">
      <w:pPr>
        <w:rPr>
          <w:sz w:val="24"/>
          <w:szCs w:val="24"/>
        </w:rPr>
      </w:pPr>
    </w:p>
    <w:p w14:paraId="2943B51A" w14:textId="75B76717" w:rsidR="009D7EC0" w:rsidRDefault="002856FE" w:rsidP="00F83EDE">
      <w:r w:rsidRPr="002856FE">
        <w:rPr>
          <w:sz w:val="20"/>
          <w:szCs w:val="20"/>
        </w:rPr>
        <w:t xml:space="preserve">Gràfic 1: </w:t>
      </w:r>
      <w:r>
        <w:rPr>
          <w:sz w:val="20"/>
          <w:szCs w:val="20"/>
        </w:rPr>
        <w:t>Persones a</w:t>
      </w:r>
      <w:r w:rsidRPr="002856FE">
        <w:rPr>
          <w:sz w:val="20"/>
          <w:szCs w:val="20"/>
        </w:rPr>
        <w:t>tura</w:t>
      </w:r>
      <w:r>
        <w:rPr>
          <w:sz w:val="20"/>
          <w:szCs w:val="20"/>
        </w:rPr>
        <w:t>des</w:t>
      </w:r>
      <w:r w:rsidRPr="002856FE">
        <w:rPr>
          <w:sz w:val="20"/>
          <w:szCs w:val="20"/>
        </w:rPr>
        <w:t xml:space="preserve"> per sexe </w:t>
      </w:r>
      <w:r w:rsidR="00F83EDE">
        <w:rPr>
          <w:sz w:val="20"/>
          <w:szCs w:val="20"/>
        </w:rPr>
        <w:t>sèrie</w:t>
      </w:r>
      <w:r w:rsidRPr="002856FE">
        <w:rPr>
          <w:sz w:val="20"/>
          <w:szCs w:val="20"/>
        </w:rPr>
        <w:t xml:space="preserve"> darrers 12 mesos</w:t>
      </w:r>
      <w:r w:rsidR="009461E8">
        <w:rPr>
          <w:noProof/>
        </w:rPr>
        <w:drawing>
          <wp:inline distT="0" distB="0" distL="0" distR="0" wp14:anchorId="5E26325D" wp14:editId="72E72B25">
            <wp:extent cx="5322570" cy="2517775"/>
            <wp:effectExtent l="0" t="0" r="0" b="0"/>
            <wp:docPr id="1737869103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B192B" w14:textId="77777777" w:rsidR="00F83EDE" w:rsidRPr="00F83EDE" w:rsidRDefault="00472C3B" w:rsidP="00C46736">
      <w:pPr>
        <w:jc w:val="both"/>
        <w:rPr>
          <w:sz w:val="24"/>
          <w:szCs w:val="24"/>
        </w:rPr>
      </w:pPr>
      <w:r w:rsidRPr="00F83EDE">
        <w:rPr>
          <w:sz w:val="24"/>
          <w:szCs w:val="24"/>
        </w:rPr>
        <w:t>La incidència de la situació d’atur és major entre les dones</w:t>
      </w:r>
      <w:r w:rsidR="00C46736" w:rsidRPr="00F83EDE">
        <w:rPr>
          <w:sz w:val="24"/>
          <w:szCs w:val="24"/>
        </w:rPr>
        <w:t xml:space="preserve"> </w:t>
      </w:r>
      <w:r w:rsidR="00F83EDE" w:rsidRPr="00F83EDE">
        <w:rPr>
          <w:sz w:val="24"/>
          <w:szCs w:val="24"/>
        </w:rPr>
        <w:t>tots els mesos del</w:t>
      </w:r>
      <w:r w:rsidR="00C46736" w:rsidRPr="00F83EDE">
        <w:rPr>
          <w:sz w:val="24"/>
          <w:szCs w:val="24"/>
        </w:rPr>
        <w:t xml:space="preserve"> darrer </w:t>
      </w:r>
      <w:r w:rsidR="00F83EDE" w:rsidRPr="00F83EDE">
        <w:rPr>
          <w:sz w:val="24"/>
          <w:szCs w:val="24"/>
        </w:rPr>
        <w:t>any</w:t>
      </w:r>
      <w:r w:rsidR="00C46736" w:rsidRPr="00F83EDE">
        <w:rPr>
          <w:sz w:val="24"/>
          <w:szCs w:val="24"/>
        </w:rPr>
        <w:t xml:space="preserve"> però aquest volum d’atur femení més alt que en els </w:t>
      </w:r>
      <w:r w:rsidR="00F83EDE" w:rsidRPr="00F83EDE">
        <w:rPr>
          <w:sz w:val="24"/>
          <w:szCs w:val="24"/>
        </w:rPr>
        <w:t>masculí é</w:t>
      </w:r>
      <w:r w:rsidR="00C46736" w:rsidRPr="00F83EDE">
        <w:rPr>
          <w:sz w:val="24"/>
          <w:szCs w:val="24"/>
        </w:rPr>
        <w:t>s una constant sempre</w:t>
      </w:r>
      <w:r w:rsidR="00F83EDE" w:rsidRPr="00F83EDE">
        <w:rPr>
          <w:sz w:val="24"/>
          <w:szCs w:val="24"/>
        </w:rPr>
        <w:t>,</w:t>
      </w:r>
      <w:r w:rsidR="00C46736" w:rsidRPr="00F83EDE">
        <w:rPr>
          <w:sz w:val="24"/>
          <w:szCs w:val="24"/>
        </w:rPr>
        <w:t xml:space="preserve"> tant al municipi com al Maresme, Catalunya i la resta de l’Estat</w:t>
      </w:r>
      <w:r w:rsidRPr="00F83EDE">
        <w:rPr>
          <w:sz w:val="24"/>
          <w:szCs w:val="24"/>
        </w:rPr>
        <w:t>.</w:t>
      </w:r>
      <w:r w:rsidR="00C46736" w:rsidRPr="00F83EDE">
        <w:rPr>
          <w:sz w:val="24"/>
          <w:szCs w:val="24"/>
        </w:rPr>
        <w:t xml:space="preserve"> </w:t>
      </w:r>
    </w:p>
    <w:p w14:paraId="3566E45C" w14:textId="12EA96F9" w:rsidR="00C46736" w:rsidRPr="00F83EDE" w:rsidRDefault="00F83EDE" w:rsidP="00C46736">
      <w:pPr>
        <w:jc w:val="both"/>
        <w:rPr>
          <w:sz w:val="24"/>
          <w:szCs w:val="24"/>
        </w:rPr>
      </w:pPr>
      <w:r w:rsidRPr="00F83EDE">
        <w:rPr>
          <w:sz w:val="24"/>
          <w:szCs w:val="24"/>
        </w:rPr>
        <w:t>La</w:t>
      </w:r>
      <w:r w:rsidR="00C46736" w:rsidRPr="00F83EDE">
        <w:rPr>
          <w:sz w:val="24"/>
          <w:szCs w:val="24"/>
        </w:rPr>
        <w:t xml:space="preserve"> major incidència de l’atur és la principal bretxa de gènere que caracteritza el mercat de treball en l’estat. </w:t>
      </w:r>
    </w:p>
    <w:p w14:paraId="5E485928" w14:textId="60464258" w:rsidR="00F83EDE" w:rsidRDefault="00F83EDE" w:rsidP="00C46736">
      <w:pPr>
        <w:jc w:val="both"/>
      </w:pPr>
    </w:p>
    <w:p w14:paraId="1B7463BC" w14:textId="32A407FE" w:rsidR="009D7EC0" w:rsidRDefault="002856FE" w:rsidP="00C46736">
      <w:r w:rsidRPr="002856FE">
        <w:rPr>
          <w:sz w:val="20"/>
          <w:szCs w:val="20"/>
        </w:rPr>
        <w:lastRenderedPageBreak/>
        <w:t>Gràfic 2: Persones aturades per edat</w:t>
      </w:r>
      <w:r>
        <w:t xml:space="preserve"> </w:t>
      </w:r>
      <w:r w:rsidR="00F83EDE">
        <w:t>sèrie darrers 12 mesos</w:t>
      </w:r>
      <w:r w:rsidR="009D7EC0">
        <w:rPr>
          <w:noProof/>
        </w:rPr>
        <w:drawing>
          <wp:inline distT="0" distB="0" distL="0" distR="0" wp14:anchorId="1B242378" wp14:editId="6A2EA117">
            <wp:extent cx="5438775" cy="3464533"/>
            <wp:effectExtent l="0" t="0" r="0" b="3175"/>
            <wp:docPr id="97261009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32" cy="349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E5C41" w14:textId="3104E0D2" w:rsidR="00472C3B" w:rsidRPr="00F83EDE" w:rsidRDefault="00C46736" w:rsidP="009D7EC0">
      <w:pPr>
        <w:rPr>
          <w:sz w:val="24"/>
          <w:szCs w:val="24"/>
        </w:rPr>
      </w:pPr>
      <w:r w:rsidRPr="00F83EDE">
        <w:rPr>
          <w:sz w:val="24"/>
          <w:szCs w:val="24"/>
        </w:rPr>
        <w:t xml:space="preserve">En raó de l’edat </w:t>
      </w:r>
      <w:r w:rsidR="00F83EDE" w:rsidRPr="00F83EDE">
        <w:rPr>
          <w:sz w:val="24"/>
          <w:szCs w:val="24"/>
        </w:rPr>
        <w:t xml:space="preserve">i en xifres absolutes </w:t>
      </w:r>
      <w:r w:rsidRPr="00F83EDE">
        <w:rPr>
          <w:sz w:val="24"/>
          <w:szCs w:val="24"/>
        </w:rPr>
        <w:t>e</w:t>
      </w:r>
      <w:r w:rsidR="00472C3B" w:rsidRPr="00F83EDE">
        <w:rPr>
          <w:sz w:val="24"/>
          <w:szCs w:val="24"/>
        </w:rPr>
        <w:t>l col·lectiu amb més incidència de l’atur son les persones en la franja entre el 45 i 59 anys d’edat.</w:t>
      </w:r>
    </w:p>
    <w:p w14:paraId="42DC410F" w14:textId="77777777" w:rsidR="00F83EDE" w:rsidRDefault="00F83EDE" w:rsidP="009D7EC0">
      <w:pPr>
        <w:rPr>
          <w:sz w:val="20"/>
          <w:szCs w:val="20"/>
        </w:rPr>
      </w:pPr>
    </w:p>
    <w:p w14:paraId="03BDA32B" w14:textId="2331A6E4" w:rsidR="009D7EC0" w:rsidRDefault="00EB047D" w:rsidP="009D7EC0">
      <w:r>
        <w:rPr>
          <w:sz w:val="20"/>
          <w:szCs w:val="20"/>
        </w:rPr>
        <w:t xml:space="preserve">Gràfic 3: </w:t>
      </w:r>
      <w:r w:rsidR="002856FE" w:rsidRPr="002856FE">
        <w:rPr>
          <w:sz w:val="20"/>
          <w:szCs w:val="20"/>
        </w:rPr>
        <w:t>Persones aturades per temps de permanència a l’atur</w:t>
      </w:r>
      <w:r>
        <w:rPr>
          <w:noProof/>
        </w:rPr>
        <w:drawing>
          <wp:inline distT="0" distB="0" distL="0" distR="0" wp14:anchorId="0A9D2B4C" wp14:editId="352B8DB8">
            <wp:extent cx="5398453" cy="2155734"/>
            <wp:effectExtent l="0" t="0" r="0" b="0"/>
            <wp:docPr id="1698950603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33" cy="216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0D0E4" w14:textId="35075479" w:rsidR="009D7EC0" w:rsidRPr="00F83EDE" w:rsidRDefault="00472C3B" w:rsidP="009D7EC0">
      <w:pPr>
        <w:rPr>
          <w:sz w:val="24"/>
          <w:szCs w:val="24"/>
        </w:rPr>
      </w:pPr>
      <w:r w:rsidRPr="00F83EDE">
        <w:rPr>
          <w:sz w:val="24"/>
          <w:szCs w:val="24"/>
        </w:rPr>
        <w:t xml:space="preserve">Les persones en atur de curta durada </w:t>
      </w:r>
      <w:r w:rsidR="00F83EDE" w:rsidRPr="00F83EDE">
        <w:rPr>
          <w:sz w:val="24"/>
          <w:szCs w:val="24"/>
        </w:rPr>
        <w:t xml:space="preserve">(atur </w:t>
      </w:r>
      <w:r w:rsidR="00F83EDE" w:rsidRPr="00F83EDE">
        <w:rPr>
          <w:sz w:val="24"/>
          <w:szCs w:val="24"/>
        </w:rPr>
        <w:t>conjuntural</w:t>
      </w:r>
      <w:r w:rsidR="00F83EDE" w:rsidRPr="00F83EDE">
        <w:rPr>
          <w:sz w:val="24"/>
          <w:szCs w:val="24"/>
        </w:rPr>
        <w:t xml:space="preserve">), </w:t>
      </w:r>
      <w:r w:rsidRPr="00F83EDE">
        <w:rPr>
          <w:sz w:val="24"/>
          <w:szCs w:val="24"/>
        </w:rPr>
        <w:t xml:space="preserve">son el col·lectiu més nombrós seguit </w:t>
      </w:r>
      <w:r w:rsidR="00F83EDE" w:rsidRPr="00F83EDE">
        <w:rPr>
          <w:sz w:val="24"/>
          <w:szCs w:val="24"/>
        </w:rPr>
        <w:t xml:space="preserve">pel </w:t>
      </w:r>
      <w:r w:rsidRPr="00F83EDE">
        <w:rPr>
          <w:sz w:val="24"/>
          <w:szCs w:val="24"/>
        </w:rPr>
        <w:t>de molt llarga durada (atur estructural). En els darrers 12 mesos la franja que més ha cre</w:t>
      </w:r>
      <w:r w:rsidR="00385398" w:rsidRPr="00F83EDE">
        <w:rPr>
          <w:sz w:val="24"/>
          <w:szCs w:val="24"/>
        </w:rPr>
        <w:t>s</w:t>
      </w:r>
      <w:r w:rsidRPr="00F83EDE">
        <w:rPr>
          <w:sz w:val="24"/>
          <w:szCs w:val="24"/>
        </w:rPr>
        <w:t xml:space="preserve">cut és aquesta darrera. </w:t>
      </w:r>
    </w:p>
    <w:p w14:paraId="6F4F1FDC" w14:textId="7E78C9C7" w:rsidR="00887764" w:rsidRDefault="00385398" w:rsidP="009D7EC0">
      <w:pPr>
        <w:rPr>
          <w:sz w:val="20"/>
          <w:szCs w:val="20"/>
        </w:rPr>
      </w:pPr>
      <w:r w:rsidRPr="00385398">
        <w:rPr>
          <w:sz w:val="20"/>
          <w:szCs w:val="20"/>
        </w:rPr>
        <w:lastRenderedPageBreak/>
        <w:t>Gràfic 4: Persones aturades segons el sector d’activitat econòmica del que venen</w:t>
      </w:r>
      <w:r w:rsidR="00887764">
        <w:rPr>
          <w:noProof/>
        </w:rPr>
        <w:drawing>
          <wp:inline distT="0" distB="0" distL="0" distR="0" wp14:anchorId="575F1364" wp14:editId="73B80023">
            <wp:extent cx="5438775" cy="2743200"/>
            <wp:effectExtent l="0" t="0" r="9525" b="0"/>
            <wp:docPr id="1507607054" name="Gràfic 1">
              <a:extLst xmlns:a="http://schemas.openxmlformats.org/drawingml/2006/main">
                <a:ext uri="{FF2B5EF4-FFF2-40B4-BE49-F238E27FC236}">
                  <a16:creationId xmlns:a16="http://schemas.microsoft.com/office/drawing/2014/main" id="{C17124F1-E896-5539-3774-9D13DA66C8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29140E" w14:textId="0522AAC4" w:rsidR="00385398" w:rsidRPr="00F83EDE" w:rsidRDefault="00385398" w:rsidP="00785D21">
      <w:pPr>
        <w:jc w:val="both"/>
        <w:rPr>
          <w:sz w:val="24"/>
          <w:szCs w:val="24"/>
        </w:rPr>
      </w:pPr>
      <w:r w:rsidRPr="00F83EDE">
        <w:rPr>
          <w:sz w:val="24"/>
          <w:szCs w:val="24"/>
        </w:rPr>
        <w:t>El gruix de persones ha treballat al sector dels serveis (entre un 75 i un 78%</w:t>
      </w:r>
      <w:r w:rsidR="00FB6D4E" w:rsidRPr="00F83EDE">
        <w:rPr>
          <w:sz w:val="24"/>
          <w:szCs w:val="24"/>
        </w:rPr>
        <w:t xml:space="preserve"> depenent del mes</w:t>
      </w:r>
      <w:r w:rsidRPr="00F83EDE">
        <w:rPr>
          <w:sz w:val="24"/>
          <w:szCs w:val="24"/>
        </w:rPr>
        <w:t xml:space="preserve">), aquest </w:t>
      </w:r>
      <w:r w:rsidR="00F83EDE" w:rsidRPr="00F83EDE">
        <w:rPr>
          <w:sz w:val="24"/>
          <w:szCs w:val="24"/>
        </w:rPr>
        <w:t xml:space="preserve">sector </w:t>
      </w:r>
      <w:r w:rsidRPr="00F83EDE">
        <w:rPr>
          <w:sz w:val="24"/>
          <w:szCs w:val="24"/>
        </w:rPr>
        <w:t xml:space="preserve">és també el que més treballadors ocupa, tant al municipi com a la comarca. </w:t>
      </w:r>
    </w:p>
    <w:p w14:paraId="403AC0CB" w14:textId="162E0A6F" w:rsidR="00385398" w:rsidRPr="00F83EDE" w:rsidRDefault="00FB6D4E" w:rsidP="00785D21">
      <w:pPr>
        <w:jc w:val="both"/>
        <w:rPr>
          <w:sz w:val="24"/>
          <w:szCs w:val="24"/>
        </w:rPr>
      </w:pPr>
      <w:r w:rsidRPr="00F83EDE">
        <w:rPr>
          <w:sz w:val="24"/>
          <w:szCs w:val="24"/>
        </w:rPr>
        <w:t>A continuació trobem el sector de la indústria que representa entre l’11 i el 13% de l’activitat d’origen de les persones.</w:t>
      </w:r>
    </w:p>
    <w:p w14:paraId="5C782996" w14:textId="5AC62AAB" w:rsidR="00FB6D4E" w:rsidRPr="00F83EDE" w:rsidRDefault="00FB6D4E" w:rsidP="00785D21">
      <w:pPr>
        <w:jc w:val="both"/>
        <w:rPr>
          <w:sz w:val="24"/>
          <w:szCs w:val="24"/>
        </w:rPr>
      </w:pPr>
      <w:r w:rsidRPr="00F83EDE">
        <w:rPr>
          <w:sz w:val="24"/>
          <w:szCs w:val="24"/>
        </w:rPr>
        <w:t xml:space="preserve">En tercer lloc apareix la construcció que representa entre el 7 i el 9%, finalment l’agricultura que està </w:t>
      </w:r>
      <w:r w:rsidR="00785D21" w:rsidRPr="00F83EDE">
        <w:rPr>
          <w:sz w:val="24"/>
          <w:szCs w:val="24"/>
        </w:rPr>
        <w:t>al voltant de l’1</w:t>
      </w:r>
      <w:r w:rsidRPr="00F83EDE">
        <w:rPr>
          <w:sz w:val="24"/>
          <w:szCs w:val="24"/>
        </w:rPr>
        <w:t xml:space="preserve">%. Les persones que no declaren ocupació anterior son </w:t>
      </w:r>
      <w:r w:rsidR="00785D21" w:rsidRPr="00F83EDE">
        <w:rPr>
          <w:sz w:val="24"/>
          <w:szCs w:val="24"/>
        </w:rPr>
        <w:t>el 3-4%.</w:t>
      </w:r>
    </w:p>
    <w:p w14:paraId="2A2F9A8E" w14:textId="77777777" w:rsidR="00785D21" w:rsidRDefault="00785D21" w:rsidP="009D7EC0"/>
    <w:p w14:paraId="31E2899D" w14:textId="005DC274" w:rsidR="00785D21" w:rsidRDefault="00427772" w:rsidP="009D7EC0">
      <w:r>
        <w:t>PERFIL TIPUS DE LA PERSONA ATURADA A ARENYS DE MUNT.</w:t>
      </w:r>
    </w:p>
    <w:p w14:paraId="2CA2AB17" w14:textId="01B433E3" w:rsidR="00427772" w:rsidRDefault="00427772" w:rsidP="009D7EC0">
      <w:r>
        <w:t>Seria una dona entre els 45 i els 59 anys que fa menys de 6 mesos que s’ha inscrit al SOC en recerca de feina i la seva darrera feina era una ocupació del sector dels serveis.</w:t>
      </w:r>
    </w:p>
    <w:sectPr w:rsidR="00427772" w:rsidSect="00E87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06C2" w14:textId="77777777" w:rsidR="00E878A6" w:rsidRDefault="00E878A6" w:rsidP="00AB6532">
      <w:pPr>
        <w:spacing w:after="0" w:line="240" w:lineRule="auto"/>
      </w:pPr>
      <w:r>
        <w:separator/>
      </w:r>
    </w:p>
  </w:endnote>
  <w:endnote w:type="continuationSeparator" w:id="0">
    <w:p w14:paraId="2D00E9A1" w14:textId="77777777" w:rsidR="00E878A6" w:rsidRDefault="00E878A6" w:rsidP="00AB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7105" w14:textId="77777777" w:rsidR="00AB6532" w:rsidRDefault="00AB653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4DF" w14:textId="77777777" w:rsidR="00AB6532" w:rsidRDefault="00AB653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C5E3" w14:textId="77777777" w:rsidR="00AB6532" w:rsidRDefault="00AB653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025D" w14:textId="77777777" w:rsidR="00E878A6" w:rsidRDefault="00E878A6" w:rsidP="00AB6532">
      <w:pPr>
        <w:spacing w:after="0" w:line="240" w:lineRule="auto"/>
      </w:pPr>
      <w:r>
        <w:separator/>
      </w:r>
    </w:p>
  </w:footnote>
  <w:footnote w:type="continuationSeparator" w:id="0">
    <w:p w14:paraId="65952180" w14:textId="77777777" w:rsidR="00E878A6" w:rsidRDefault="00E878A6" w:rsidP="00AB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5E1B" w14:textId="77777777" w:rsidR="00AB6532" w:rsidRDefault="00AB653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4769" w14:textId="77777777" w:rsidR="00AB6532" w:rsidRDefault="00AB653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5783" w14:textId="77777777" w:rsidR="00AB6532" w:rsidRDefault="00AB653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0"/>
    <w:rsid w:val="0009142D"/>
    <w:rsid w:val="001050FC"/>
    <w:rsid w:val="002856FE"/>
    <w:rsid w:val="00385398"/>
    <w:rsid w:val="00427772"/>
    <w:rsid w:val="00472C3B"/>
    <w:rsid w:val="004B0BBA"/>
    <w:rsid w:val="004D0E1D"/>
    <w:rsid w:val="00785D21"/>
    <w:rsid w:val="00887764"/>
    <w:rsid w:val="008F2982"/>
    <w:rsid w:val="009461E8"/>
    <w:rsid w:val="009D7EC0"/>
    <w:rsid w:val="00A05796"/>
    <w:rsid w:val="00AB6532"/>
    <w:rsid w:val="00C46736"/>
    <w:rsid w:val="00E878A6"/>
    <w:rsid w:val="00EB047D"/>
    <w:rsid w:val="00F83EDE"/>
    <w:rsid w:val="00F86105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2D5"/>
  <w15:chartTrackingRefBased/>
  <w15:docId w15:val="{1AC6D513-CD92-4BC8-B50F-C896574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9D7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D7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D7E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D7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D7E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D7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D7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D7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D7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B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B653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B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B6532"/>
    <w:rPr>
      <w:lang w:val="ca-ES"/>
    </w:rPr>
  </w:style>
  <w:style w:type="character" w:customStyle="1" w:styleId="Ttol1Car">
    <w:name w:val="Títol 1 Car"/>
    <w:basedOn w:val="Lletraperdefectedelpargraf"/>
    <w:link w:val="Ttol1"/>
    <w:uiPriority w:val="9"/>
    <w:rsid w:val="009D7EC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D7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9D7E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9D7EC0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9D7EC0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9D7EC0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9D7EC0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9D7EC0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9D7EC0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9D7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9D7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9D7E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9D7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7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9D7EC0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9D7EC0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9D7EC0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D7E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9D7EC0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9D7EC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vives\Desktop\Dades%20atur%20pel%20Josep\006-Sector%20d_activitat%20econ&#242;mica.%20Municipis.%20S&#232;rie.%20A%20partir%202016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 sectors d'activitat</a:t>
            </a:r>
          </a:p>
        </c:rich>
      </c:tx>
      <c:layout>
        <c:manualLayout>
          <c:xMode val="edge"/>
          <c:yMode val="edge"/>
          <c:x val="0.31793044619422572"/>
          <c:y val="1.8518518518518517E-2"/>
        </c:manualLayout>
      </c:layout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>
        <c:manualLayout>
          <c:layoutTarget val="inner"/>
          <c:xMode val="edge"/>
          <c:yMode val="edge"/>
          <c:x val="8.3817147856517935E-2"/>
          <c:y val="0.1115277777777778"/>
          <c:w val="0.88562729658792649"/>
          <c:h val="0.59086723534558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Full1!$B$1</c:f>
              <c:strCache>
                <c:ptCount val="1"/>
                <c:pt idx="0">
                  <c:v>Agricultura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Full1!$A$2:$A$13</c:f>
              <c:numCache>
                <c:formatCode>mmm\-yy</c:formatCode>
                <c:ptCount val="12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</c:numCache>
            </c:numRef>
          </c:cat>
          <c:val>
            <c:numRef>
              <c:f>Full1!$B$2:$B$13</c:f>
              <c:numCache>
                <c:formatCode>#,##0_);\(#,##0\)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B-47C0-A2C6-C5BD4BA058D7}"/>
            </c:ext>
          </c:extLst>
        </c:ser>
        <c:ser>
          <c:idx val="1"/>
          <c:order val="1"/>
          <c:tx>
            <c:strRef>
              <c:f>Full1!$C$1</c:f>
              <c:strCache>
                <c:ptCount val="1"/>
                <c:pt idx="0">
                  <c:v>Indústria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Full1!$A$2:$A$13</c:f>
              <c:numCache>
                <c:formatCode>mmm\-yy</c:formatCode>
                <c:ptCount val="12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</c:numCache>
            </c:numRef>
          </c:cat>
          <c:val>
            <c:numRef>
              <c:f>Full1!$C$2:$C$13</c:f>
              <c:numCache>
                <c:formatCode>#,##0_);\(#,##0\)</c:formatCode>
                <c:ptCount val="12"/>
                <c:pt idx="0">
                  <c:v>43</c:v>
                </c:pt>
                <c:pt idx="1">
                  <c:v>45</c:v>
                </c:pt>
                <c:pt idx="2">
                  <c:v>41</c:v>
                </c:pt>
                <c:pt idx="3">
                  <c:v>46</c:v>
                </c:pt>
                <c:pt idx="4">
                  <c:v>44</c:v>
                </c:pt>
                <c:pt idx="5">
                  <c:v>52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46</c:v>
                </c:pt>
                <c:pt idx="10">
                  <c:v>47</c:v>
                </c:pt>
                <c:pt idx="1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5B-47C0-A2C6-C5BD4BA058D7}"/>
            </c:ext>
          </c:extLst>
        </c:ser>
        <c:ser>
          <c:idx val="2"/>
          <c:order val="2"/>
          <c:tx>
            <c:strRef>
              <c:f>Full1!$D$1</c:f>
              <c:strCache>
                <c:ptCount val="1"/>
                <c:pt idx="0">
                  <c:v>Construcció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Full1!$A$2:$A$13</c:f>
              <c:numCache>
                <c:formatCode>mmm\-yy</c:formatCode>
                <c:ptCount val="12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</c:numCache>
            </c:numRef>
          </c:cat>
          <c:val>
            <c:numRef>
              <c:f>Full1!$D$2:$D$13</c:f>
              <c:numCache>
                <c:formatCode>#,##0_);\(#,##0\)</c:formatCode>
                <c:ptCount val="12"/>
                <c:pt idx="0">
                  <c:v>26</c:v>
                </c:pt>
                <c:pt idx="1">
                  <c:v>26</c:v>
                </c:pt>
                <c:pt idx="2">
                  <c:v>29</c:v>
                </c:pt>
                <c:pt idx="3">
                  <c:v>32</c:v>
                </c:pt>
                <c:pt idx="4">
                  <c:v>32</c:v>
                </c:pt>
                <c:pt idx="5">
                  <c:v>34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34</c:v>
                </c:pt>
                <c:pt idx="10">
                  <c:v>35</c:v>
                </c:pt>
                <c:pt idx="1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5B-47C0-A2C6-C5BD4BA058D7}"/>
            </c:ext>
          </c:extLst>
        </c:ser>
        <c:ser>
          <c:idx val="3"/>
          <c:order val="3"/>
          <c:tx>
            <c:strRef>
              <c:f>Full1!$E$1</c:f>
              <c:strCache>
                <c:ptCount val="1"/>
                <c:pt idx="0">
                  <c:v>Serveis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Full1!$A$2:$A$13</c:f>
              <c:numCache>
                <c:formatCode>mmm\-yy</c:formatCode>
                <c:ptCount val="12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</c:numCache>
            </c:numRef>
          </c:cat>
          <c:val>
            <c:numRef>
              <c:f>Full1!$E$2:$E$13</c:f>
              <c:numCache>
                <c:formatCode>#,##0_);\(#,##0\)</c:formatCode>
                <c:ptCount val="12"/>
                <c:pt idx="0">
                  <c:v>296</c:v>
                </c:pt>
                <c:pt idx="1">
                  <c:v>286</c:v>
                </c:pt>
                <c:pt idx="2">
                  <c:v>279</c:v>
                </c:pt>
                <c:pt idx="3">
                  <c:v>277</c:v>
                </c:pt>
                <c:pt idx="4">
                  <c:v>289</c:v>
                </c:pt>
                <c:pt idx="5">
                  <c:v>303</c:v>
                </c:pt>
                <c:pt idx="6">
                  <c:v>310</c:v>
                </c:pt>
                <c:pt idx="7">
                  <c:v>305</c:v>
                </c:pt>
                <c:pt idx="8">
                  <c:v>306</c:v>
                </c:pt>
                <c:pt idx="9">
                  <c:v>306</c:v>
                </c:pt>
                <c:pt idx="10">
                  <c:v>303</c:v>
                </c:pt>
                <c:pt idx="11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5B-47C0-A2C6-C5BD4BA058D7}"/>
            </c:ext>
          </c:extLst>
        </c:ser>
        <c:ser>
          <c:idx val="4"/>
          <c:order val="4"/>
          <c:tx>
            <c:strRef>
              <c:f>Full1!$F$1</c:f>
              <c:strCache>
                <c:ptCount val="1"/>
                <c:pt idx="0">
                  <c:v>Sense ocupació anterior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Full1!$A$2:$A$13</c:f>
              <c:numCache>
                <c:formatCode>mmm\-yy</c:formatCode>
                <c:ptCount val="12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</c:numCache>
            </c:numRef>
          </c:cat>
          <c:val>
            <c:numRef>
              <c:f>Full1!$F$2:$F$13</c:f>
              <c:numCache>
                <c:formatCode>#,##0_);\(#,##0\)</c:formatCode>
                <c:ptCount val="12"/>
                <c:pt idx="0">
                  <c:v>12</c:v>
                </c:pt>
                <c:pt idx="1">
                  <c:v>12</c:v>
                </c:pt>
                <c:pt idx="2">
                  <c:v>14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14</c:v>
                </c:pt>
                <c:pt idx="7">
                  <c:v>13</c:v>
                </c:pt>
                <c:pt idx="8">
                  <c:v>14</c:v>
                </c:pt>
                <c:pt idx="9">
                  <c:v>14</c:v>
                </c:pt>
                <c:pt idx="10">
                  <c:v>13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5B-47C0-A2C6-C5BD4BA05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161391"/>
        <c:axId val="128166671"/>
      </c:barChart>
      <c:dateAx>
        <c:axId val="128161391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128166671"/>
        <c:crosses val="autoZero"/>
        <c:auto val="1"/>
        <c:lblOffset val="100"/>
        <c:baseTimeUnit val="months"/>
      </c:dateAx>
      <c:valAx>
        <c:axId val="128166671"/>
        <c:scaling>
          <c:orientation val="minMax"/>
          <c:max val="3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128161391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cina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icina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 Narrow" panose="0211000402020202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ici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  <a:ln w="2540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Vives</dc:creator>
  <cp:keywords/>
  <dc:description/>
  <cp:lastModifiedBy>Mercè Vives</cp:lastModifiedBy>
  <cp:revision>2</cp:revision>
  <dcterms:created xsi:type="dcterms:W3CDTF">2024-04-17T12:22:00Z</dcterms:created>
  <dcterms:modified xsi:type="dcterms:W3CDTF">2024-04-17T12:22:00Z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